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1EE8" w14:textId="77777777" w:rsidR="00E02CC4" w:rsidRPr="001768CE" w:rsidRDefault="001768CE" w:rsidP="001768CE">
      <w:pPr>
        <w:ind w:left="-720" w:right="-720"/>
        <w:jc w:val="center"/>
        <w:rPr>
          <w:b/>
          <w:i/>
        </w:rPr>
      </w:pPr>
      <w:r w:rsidRPr="001768CE">
        <w:rPr>
          <w:b/>
          <w:i/>
        </w:rPr>
        <w:t>Nationalism in the Era of Good Feelin</w:t>
      </w:r>
      <w:bookmarkStart w:id="0" w:name="_GoBack"/>
      <w:bookmarkEnd w:id="0"/>
      <w:r w:rsidRPr="001768CE">
        <w:rPr>
          <w:b/>
          <w:i/>
        </w:rPr>
        <w:t xml:space="preserve">gs </w:t>
      </w:r>
    </w:p>
    <w:tbl>
      <w:tblPr>
        <w:tblStyle w:val="a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3780"/>
        <w:gridCol w:w="3780"/>
        <w:gridCol w:w="3780"/>
      </w:tblGrid>
      <w:tr w:rsidR="00E02CC4" w14:paraId="01017FD4" w14:textId="77777777" w:rsidTr="001768CE">
        <w:trPr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73DC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Political Nationalism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A6FF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Economic Nationalism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6A03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Nationalism in Foreign Policy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EC13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Cultural Nationalism</w:t>
            </w:r>
            <w:r>
              <w:t xml:space="preserve"> </w:t>
            </w:r>
          </w:p>
        </w:tc>
      </w:tr>
      <w:tr w:rsidR="00E02CC4" w14:paraId="24DCC4D6" w14:textId="77777777" w:rsidTr="00C65DAB">
        <w:trPr>
          <w:trHeight w:val="7602"/>
          <w:jc w:val="center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A349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Death of the First Party System</w:t>
            </w:r>
          </w:p>
          <w:p w14:paraId="3B31F4F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90B8F0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124CE6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1CD9FD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E38EDD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Marshall Court</w:t>
            </w:r>
          </w:p>
          <w:p w14:paraId="79EC607D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3EA20E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DBDCAA" w14:textId="77777777" w:rsidR="009A5E4F" w:rsidRDefault="009A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52AD16AF" w14:textId="77777777" w:rsidR="001768CE" w:rsidRPr="00B32D53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B32D53">
              <w:rPr>
                <w:i/>
              </w:rPr>
              <w:t>Fletcher v. Peck</w:t>
            </w:r>
            <w:r w:rsidR="00B32D53">
              <w:rPr>
                <w:i/>
              </w:rPr>
              <w:t xml:space="preserve"> (1810)</w:t>
            </w:r>
          </w:p>
          <w:p w14:paraId="554C28DD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C898B3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96F2E0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F07223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577EBB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A5B9DA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D7CBF1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B32D53">
              <w:rPr>
                <w:i/>
              </w:rPr>
              <w:t>McCulloch v. Maryland</w:t>
            </w:r>
            <w:r w:rsidR="00B32D53">
              <w:rPr>
                <w:i/>
              </w:rPr>
              <w:t xml:space="preserve"> (1819)</w:t>
            </w:r>
          </w:p>
          <w:p w14:paraId="47B7BE2F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6F07DE8C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1BF19A05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1EAE80B8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278CD096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602AD7BE" w14:textId="77777777" w:rsidR="00B32D53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14:paraId="00134A9A" w14:textId="5D916009" w:rsidR="001768CE" w:rsidRPr="007962A2" w:rsidRDefault="00B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Gibbens</w:t>
            </w:r>
            <w:proofErr w:type="spellEnd"/>
            <w:r>
              <w:rPr>
                <w:i/>
              </w:rPr>
              <w:t xml:space="preserve"> v. Ogden (1824)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1A84B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Henry Clay’s “American System”</w:t>
            </w:r>
          </w:p>
          <w:p w14:paraId="494247D9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CB2807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CB4001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632753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E8877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A30601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2A1960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1C3684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643A1A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15AA3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311292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A23B0C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C02756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B1B7F9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EBD254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Erie Canal</w:t>
            </w:r>
          </w:p>
          <w:p w14:paraId="19F0B88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509D6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71FF2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517282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A2DF23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570993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17074C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Road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E440" w14:textId="77777777" w:rsidR="00E02CC4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Rush-Bagot Treaty/</w:t>
            </w:r>
            <w:r w:rsidR="00642FA7">
              <w:t>Convention of 1819</w:t>
            </w:r>
          </w:p>
          <w:p w14:paraId="34E64D08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260766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F67F38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7B2C70" w14:textId="539F45A4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3F846A" w14:textId="77777777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648BCA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537712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0BD5F4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Adams-</w:t>
            </w:r>
            <w:proofErr w:type="spellStart"/>
            <w:r w:rsidRPr="001768CE">
              <w:t>On</w:t>
            </w:r>
            <w:r w:rsidR="001768CE">
              <w:t>i</w:t>
            </w:r>
            <w:r w:rsidRPr="001768CE">
              <w:t>s</w:t>
            </w:r>
            <w:proofErr w:type="spellEnd"/>
            <w:r>
              <w:t xml:space="preserve"> Treaty</w:t>
            </w:r>
          </w:p>
          <w:p w14:paraId="3C1BBCB8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23B8D6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76A2FC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57950F" w14:textId="3FC79632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D9E523" w14:textId="77777777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FE2F6C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E6E2D4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CCF8E8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75A185" w14:textId="2030F96F" w:rsidR="007962A2" w:rsidRPr="007962A2" w:rsidRDefault="00642FA7" w:rsidP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Monroe Doctrine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1881" w14:textId="5D0C4B19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  <w:r>
              <w:t>Education</w:t>
            </w:r>
          </w:p>
          <w:p w14:paraId="3132AE48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0054DA73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524D2809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7505B094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7654235C" w14:textId="77777777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14DD7B88" w14:textId="1C1F3884" w:rsidR="001768CE" w:rsidRDefault="0017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74C7CEC8" w14:textId="3054BCA7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3DD61F05" w14:textId="77777777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0FD8D4AB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  <w:r>
              <w:t>Literature</w:t>
            </w:r>
          </w:p>
          <w:p w14:paraId="0C6369CF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5CDEDAD4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6C7DCC6E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31189ADD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17F9D05A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65BACBC8" w14:textId="77777777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5E2DE2C2" w14:textId="5A70E02D" w:rsidR="00E02CC4" w:rsidRDefault="00E02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375504A0" w14:textId="77777777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  <w:p w14:paraId="02D3CA7C" w14:textId="77777777" w:rsidR="00E02CC4" w:rsidRDefault="00642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  <w:r>
              <w:t xml:space="preserve">Art </w:t>
            </w:r>
          </w:p>
          <w:p w14:paraId="216117DA" w14:textId="503E5871" w:rsidR="007962A2" w:rsidRDefault="0079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50"/>
            </w:pPr>
          </w:p>
        </w:tc>
      </w:tr>
    </w:tbl>
    <w:p w14:paraId="7FDDBB80" w14:textId="0F0045CE" w:rsidR="007962A2" w:rsidRPr="001360CD" w:rsidRDefault="007962A2" w:rsidP="007962A2">
      <w:pPr>
        <w:jc w:val="center"/>
        <w:rPr>
          <w:b/>
          <w:i/>
        </w:rPr>
      </w:pPr>
      <w:r w:rsidRPr="001360CD">
        <w:rPr>
          <w:b/>
          <w:i/>
        </w:rPr>
        <w:lastRenderedPageBreak/>
        <w:t>Sectionalism in the Era of Good Feelings</w:t>
      </w:r>
    </w:p>
    <w:tbl>
      <w:tblPr>
        <w:tblStyle w:val="TableGrid"/>
        <w:tblW w:w="14296" w:type="dxa"/>
        <w:tblLook w:val="04A0" w:firstRow="1" w:lastRow="0" w:firstColumn="1" w:lastColumn="0" w:noHBand="0" w:noVBand="1"/>
      </w:tblPr>
      <w:tblGrid>
        <w:gridCol w:w="7148"/>
        <w:gridCol w:w="7148"/>
      </w:tblGrid>
      <w:tr w:rsidR="007962A2" w14:paraId="22F72F2B" w14:textId="77777777" w:rsidTr="007962A2">
        <w:trPr>
          <w:trHeight w:val="494"/>
        </w:trPr>
        <w:tc>
          <w:tcPr>
            <w:tcW w:w="7148" w:type="dxa"/>
          </w:tcPr>
          <w:p w14:paraId="5AE18414" w14:textId="790D1AC1" w:rsidR="007962A2" w:rsidRPr="007962A2" w:rsidRDefault="007962A2" w:rsidP="007962A2">
            <w:pPr>
              <w:ind w:right="-720"/>
              <w:jc w:val="center"/>
              <w:rPr>
                <w:b/>
                <w:bCs/>
              </w:rPr>
            </w:pPr>
            <w:r w:rsidRPr="007962A2">
              <w:rPr>
                <w:b/>
                <w:bCs/>
              </w:rPr>
              <w:t>North vs. South</w:t>
            </w:r>
          </w:p>
        </w:tc>
        <w:tc>
          <w:tcPr>
            <w:tcW w:w="7148" w:type="dxa"/>
          </w:tcPr>
          <w:p w14:paraId="1894E3E3" w14:textId="0FD45634" w:rsidR="007962A2" w:rsidRPr="007962A2" w:rsidRDefault="007962A2" w:rsidP="007962A2">
            <w:pPr>
              <w:ind w:right="-720"/>
              <w:jc w:val="center"/>
              <w:rPr>
                <w:b/>
                <w:bCs/>
              </w:rPr>
            </w:pPr>
            <w:r w:rsidRPr="007962A2">
              <w:rPr>
                <w:b/>
                <w:bCs/>
              </w:rPr>
              <w:t>The Missouri Compromise (1820)</w:t>
            </w:r>
          </w:p>
        </w:tc>
      </w:tr>
      <w:tr w:rsidR="007962A2" w14:paraId="28355EEB" w14:textId="77777777" w:rsidTr="007962A2">
        <w:trPr>
          <w:trHeight w:val="8332"/>
        </w:trPr>
        <w:tc>
          <w:tcPr>
            <w:tcW w:w="7148" w:type="dxa"/>
          </w:tcPr>
          <w:p w14:paraId="7FD944D5" w14:textId="77777777" w:rsidR="007962A2" w:rsidRDefault="007962A2" w:rsidP="007962A2">
            <w:pPr>
              <w:ind w:right="-720"/>
              <w:jc w:val="center"/>
            </w:pPr>
          </w:p>
        </w:tc>
        <w:tc>
          <w:tcPr>
            <w:tcW w:w="7148" w:type="dxa"/>
          </w:tcPr>
          <w:p w14:paraId="4D3292C5" w14:textId="77777777" w:rsidR="007962A2" w:rsidRDefault="007962A2" w:rsidP="007962A2">
            <w:pPr>
              <w:ind w:right="-720"/>
              <w:jc w:val="center"/>
            </w:pPr>
          </w:p>
        </w:tc>
      </w:tr>
    </w:tbl>
    <w:p w14:paraId="0F772210" w14:textId="011DBD93" w:rsidR="00E02CC4" w:rsidRDefault="00E02CC4" w:rsidP="007962A2">
      <w:pPr>
        <w:ind w:right="-720"/>
        <w:jc w:val="center"/>
      </w:pPr>
    </w:p>
    <w:p w14:paraId="6CFE5B42" w14:textId="74FFEF48" w:rsidR="00C65DAB" w:rsidRDefault="00C65DAB" w:rsidP="007962A2">
      <w:pPr>
        <w:ind w:right="-720"/>
        <w:jc w:val="center"/>
      </w:pPr>
    </w:p>
    <w:p w14:paraId="198B8FB9" w14:textId="22C74688" w:rsidR="00C65DAB" w:rsidRDefault="00C65DAB" w:rsidP="00C65DAB">
      <w:pPr>
        <w:ind w:right="-720"/>
        <w:jc w:val="center"/>
      </w:pPr>
      <w:r w:rsidRPr="00C65DAB">
        <w:lastRenderedPageBreak/>
        <w:drawing>
          <wp:inline distT="0" distB="0" distL="0" distR="0" wp14:anchorId="51E98D12" wp14:editId="3F55F2B4">
            <wp:extent cx="8318302" cy="5340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0773" cy="534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DAB" w:rsidSect="001768CE"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D8CE" w14:textId="77777777" w:rsidR="00A06854" w:rsidRDefault="00A06854">
      <w:pPr>
        <w:spacing w:line="240" w:lineRule="auto"/>
      </w:pPr>
      <w:r>
        <w:separator/>
      </w:r>
    </w:p>
  </w:endnote>
  <w:endnote w:type="continuationSeparator" w:id="0">
    <w:p w14:paraId="0B44FCA3" w14:textId="77777777" w:rsidR="00A06854" w:rsidRDefault="00A0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4191" w14:textId="77777777" w:rsidR="00A06854" w:rsidRDefault="00A06854">
      <w:pPr>
        <w:spacing w:line="240" w:lineRule="auto"/>
      </w:pPr>
      <w:r>
        <w:separator/>
      </w:r>
    </w:p>
  </w:footnote>
  <w:footnote w:type="continuationSeparator" w:id="0">
    <w:p w14:paraId="6F3FA1A7" w14:textId="77777777" w:rsidR="00A06854" w:rsidRDefault="00A0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4CB3" w14:textId="77777777" w:rsidR="00E02CC4" w:rsidRDefault="009A5E4F">
    <w:pPr>
      <w:ind w:left="720"/>
      <w:rPr>
        <w:rFonts w:ascii="Lobster" w:eastAsia="Lobster" w:hAnsi="Lobster" w:cs="Lobster"/>
        <w:sz w:val="24"/>
        <w:szCs w:val="24"/>
      </w:rPr>
    </w:pPr>
    <w:r>
      <w:rPr>
        <w:rFonts w:ascii="Lobster" w:eastAsia="Lobster" w:hAnsi="Lobster" w:cs="Lobster"/>
        <w:sz w:val="24"/>
        <w:szCs w:val="24"/>
      </w:rPr>
      <w:t>But it wasn’t all “Good Feelings” during the Monroe Presidency…</w:t>
    </w:r>
    <w:r w:rsidR="00642FA7">
      <w:rPr>
        <w:rFonts w:ascii="Lobster" w:eastAsia="Lobster" w:hAnsi="Lobster" w:cs="Lobster"/>
        <w:sz w:val="24"/>
        <w:szCs w:val="24"/>
      </w:rPr>
      <w:t xml:space="preserve"> </w:t>
    </w:r>
  </w:p>
  <w:p w14:paraId="19BB33D0" w14:textId="77777777" w:rsidR="00E02CC4" w:rsidRDefault="00E02CC4"/>
  <w:p w14:paraId="3DBF82A9" w14:textId="77777777" w:rsidR="00E02CC4" w:rsidRDefault="00E02C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B755" w14:textId="0A9F9047" w:rsidR="001768CE" w:rsidRPr="00C65DAB" w:rsidRDefault="001768CE" w:rsidP="007962A2">
    <w:pPr>
      <w:pStyle w:val="NormalWeb"/>
      <w:spacing w:before="0" w:beforeAutospacing="0" w:after="0" w:afterAutospacing="0"/>
      <w:rPr>
        <w:rFonts w:ascii="Lobster" w:hAnsi="Lobster"/>
        <w:b/>
        <w:bCs/>
        <w:color w:val="000000"/>
        <w:sz w:val="32"/>
        <w:szCs w:val="32"/>
        <w:u w:val="single"/>
      </w:rPr>
    </w:pPr>
    <w:r w:rsidRPr="00C65DAB">
      <w:rPr>
        <w:rFonts w:ascii="Lobster" w:hAnsi="Lobster"/>
        <w:b/>
        <w:bCs/>
        <w:color w:val="000000"/>
        <w:sz w:val="32"/>
        <w:szCs w:val="32"/>
        <w:u w:val="single"/>
      </w:rPr>
      <w:t>James Monroe and The Era of Good Feelings (1815-1825): </w:t>
    </w:r>
  </w:p>
  <w:p w14:paraId="266EB488" w14:textId="00109CDA" w:rsidR="007962A2" w:rsidRDefault="007962A2" w:rsidP="007962A2">
    <w:pPr>
      <w:pStyle w:val="NormalWeb"/>
      <w:spacing w:before="0" w:beforeAutospacing="0" w:after="0" w:afterAutospacing="0"/>
      <w:rPr>
        <w:rFonts w:ascii="Lobster" w:hAnsi="Lobster"/>
        <w:b/>
        <w:bCs/>
        <w:color w:val="000000"/>
        <w:u w:val="single"/>
      </w:rPr>
    </w:pPr>
  </w:p>
  <w:p w14:paraId="185E09B3" w14:textId="77777777" w:rsidR="007962A2" w:rsidRDefault="007962A2" w:rsidP="007962A2">
    <w:pPr>
      <w:pStyle w:val="NormalWeb"/>
      <w:spacing w:before="0" w:beforeAutospacing="0" w:after="0" w:afterAutospacing="0"/>
      <w:rPr>
        <w:rFonts w:ascii="Lobster" w:hAnsi="Lobster"/>
        <w:b/>
        <w:bCs/>
        <w:color w:val="000000"/>
        <w:u w:val="single"/>
      </w:rPr>
    </w:pPr>
  </w:p>
  <w:p w14:paraId="5C7CD25C" w14:textId="77777777" w:rsidR="007962A2" w:rsidRPr="007962A2" w:rsidRDefault="007962A2" w:rsidP="007962A2">
    <w:pPr>
      <w:pStyle w:val="NormalWeb"/>
      <w:spacing w:before="0" w:beforeAutospacing="0" w:after="0" w:afterAutospacing="0"/>
      <w:rPr>
        <w:rFonts w:ascii="Lobster" w:hAnsi="Lobster"/>
        <w:b/>
        <w:bCs/>
        <w:color w:val="000000"/>
        <w:u w:val="single"/>
      </w:rPr>
    </w:pPr>
  </w:p>
  <w:p w14:paraId="25E8E1C4" w14:textId="4D2DF0EC" w:rsidR="001768CE" w:rsidRDefault="001768CE" w:rsidP="00C65DAB">
    <w:pPr>
      <w:pStyle w:val="NormalWeb"/>
      <w:spacing w:before="0" w:beforeAutospacing="0" w:after="0" w:afterAutospacing="0"/>
      <w:rPr>
        <w:rFonts w:ascii="Lobster" w:hAnsi="Lobster"/>
        <w:color w:val="000000"/>
      </w:rPr>
    </w:pPr>
  </w:p>
  <w:p w14:paraId="7229E448" w14:textId="77777777" w:rsidR="001768CE" w:rsidRDefault="001768CE" w:rsidP="001768CE">
    <w:pPr>
      <w:pStyle w:val="NormalWeb"/>
      <w:spacing w:before="0" w:beforeAutospacing="0" w:after="0" w:afterAutospacing="0"/>
      <w:ind w:left="720"/>
    </w:pPr>
  </w:p>
  <w:p w14:paraId="4C279451" w14:textId="77777777" w:rsidR="001768CE" w:rsidRDefault="00176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C4"/>
    <w:rsid w:val="001360CD"/>
    <w:rsid w:val="001768CE"/>
    <w:rsid w:val="005A469C"/>
    <w:rsid w:val="00642FA7"/>
    <w:rsid w:val="007962A2"/>
    <w:rsid w:val="009A5E4F"/>
    <w:rsid w:val="00A06854"/>
    <w:rsid w:val="00B32D53"/>
    <w:rsid w:val="00C65DAB"/>
    <w:rsid w:val="00E02CC4"/>
    <w:rsid w:val="00E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3090"/>
  <w15:docId w15:val="{CA712758-6908-4BE9-99AC-6868CC4E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68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CE"/>
  </w:style>
  <w:style w:type="paragraph" w:styleId="Footer">
    <w:name w:val="footer"/>
    <w:basedOn w:val="Normal"/>
    <w:link w:val="FooterChar"/>
    <w:uiPriority w:val="99"/>
    <w:unhideWhenUsed/>
    <w:rsid w:val="001768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CE"/>
  </w:style>
  <w:style w:type="paragraph" w:styleId="NormalWeb">
    <w:name w:val="Normal (Web)"/>
    <w:basedOn w:val="Normal"/>
    <w:uiPriority w:val="99"/>
    <w:semiHidden/>
    <w:unhideWhenUsed/>
    <w:rsid w:val="0017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2D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Willis</dc:creator>
  <cp:lastModifiedBy>Benjamin Willis</cp:lastModifiedBy>
  <cp:revision>4</cp:revision>
  <cp:lastPrinted>2019-09-09T12:45:00Z</cp:lastPrinted>
  <dcterms:created xsi:type="dcterms:W3CDTF">2019-09-09T12:46:00Z</dcterms:created>
  <dcterms:modified xsi:type="dcterms:W3CDTF">2020-10-08T13:23:00Z</dcterms:modified>
</cp:coreProperties>
</file>